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FF0000"/>
          <w:w w:val="32"/>
          <w:sz w:val="18"/>
          <w:szCs w:val="18"/>
        </w:rPr>
      </w:pPr>
    </w:p>
    <w:p>
      <w:pPr>
        <w:rPr>
          <w:rFonts w:hint="eastAsia" w:ascii="仿宋" w:hAnsi="仿宋" w:eastAsia="仿宋" w:cs="仿宋"/>
          <w:b/>
          <w:color w:val="FF0000"/>
          <w:w w:val="32"/>
          <w:sz w:val="18"/>
          <w:szCs w:val="18"/>
        </w:rPr>
      </w:pPr>
    </w:p>
    <w:p>
      <w:pPr>
        <w:rPr>
          <w:rFonts w:hint="eastAsia" w:ascii="仿宋" w:hAnsi="仿宋" w:eastAsia="仿宋" w:cs="仿宋"/>
          <w:b/>
          <w:color w:val="FF0000"/>
          <w:w w:val="32"/>
          <w:sz w:val="18"/>
          <w:szCs w:val="18"/>
        </w:rPr>
      </w:pPr>
    </w:p>
    <w:p>
      <w:pPr>
        <w:rPr>
          <w:rFonts w:hint="eastAsia" w:ascii="仿宋" w:hAnsi="仿宋" w:eastAsia="仿宋" w:cs="仿宋"/>
          <w:b/>
          <w:color w:val="FF0000"/>
          <w:w w:val="32"/>
          <w:sz w:val="18"/>
          <w:szCs w:val="18"/>
        </w:rPr>
      </w:pPr>
      <w:r>
        <w:rPr>
          <w:rFonts w:hint="eastAsia" w:ascii="仿宋" w:hAnsi="仿宋" w:eastAsia="仿宋" w:cs="仿宋"/>
          <w:szCs w:val="22"/>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99060</wp:posOffset>
                </wp:positionV>
                <wp:extent cx="1914525" cy="594360"/>
                <wp:effectExtent l="4445" t="4445" r="16510" b="10795"/>
                <wp:wrapNone/>
                <wp:docPr id="3" name="文本框 2"/>
                <wp:cNvGraphicFramePr/>
                <a:graphic xmlns:a="http://schemas.openxmlformats.org/drawingml/2006/main">
                  <a:graphicData uri="http://schemas.microsoft.com/office/word/2010/wordprocessingShape">
                    <wps:wsp>
                      <wps:cNvSpPr txBox="1"/>
                      <wps:spPr>
                        <a:xfrm>
                          <a:off x="0" y="0"/>
                          <a:ext cx="1914525"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Calibri" w:eastAsia="宋体" w:cs="Times New Roman"/>
                                <w:b/>
                                <w:color w:val="FF0000"/>
                                <w:w w:val="66"/>
                                <w:sz w:val="72"/>
                                <w:szCs w:val="72"/>
                              </w:rPr>
                            </w:pPr>
                            <w:r>
                              <w:rPr>
                                <w:rFonts w:hint="eastAsia" w:ascii="宋体" w:hAnsi="宋体" w:eastAsia="宋体" w:cs="Times New Roman"/>
                                <w:b/>
                                <w:color w:val="FF0000"/>
                                <w:w w:val="66"/>
                                <w:sz w:val="72"/>
                                <w:szCs w:val="72"/>
                              </w:rPr>
                              <w:t>“双学双比”</w:t>
                            </w:r>
                            <w:r>
                              <w:rPr>
                                <w:rFonts w:ascii="宋体" w:hAnsi="宋体" w:eastAsia="宋体" w:cs="Times New Roman"/>
                                <w:b/>
                                <w:color w:val="FF0000"/>
                                <w:w w:val="66"/>
                                <w:sz w:val="72"/>
                                <w:szCs w:val="72"/>
                              </w:rPr>
                              <w:t xml:space="preserve">  </w:t>
                            </w:r>
                          </w:p>
                        </w:txbxContent>
                      </wps:txbx>
                      <wps:bodyPr upright="1"/>
                    </wps:wsp>
                  </a:graphicData>
                </a:graphic>
              </wp:anchor>
            </w:drawing>
          </mc:Choice>
          <mc:Fallback>
            <w:pict>
              <v:shape id="文本框 2" o:spid="_x0000_s1026" o:spt="202" type="#_x0000_t202" style="position:absolute;left:0pt;margin-left:90pt;margin-top:7.8pt;height:46.8pt;width:150.75pt;z-index:251658240;mso-width-relative:page;mso-height-relative:page;" fillcolor="#FFFFFF" filled="t" stroked="t" coordsize="21600,21600" o:gfxdata="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T5GwzYAAAACgEAAA8AAAAAAAAAAQAgAAAAIgAAAGRycy9kb3ducmV2LnhtbFBLAQIUABQAAAAI&#10;AIdO4kATcUYG7QEAAOgDAAAOAAAAAAAAAAEAIAAAACcBAABkcnMvZTJvRG9jLnhtbFBLBQYAAAAA&#10;BgAGAFkBAACGBQAAAAA=&#10;">
                <v:fill on="t" focussize="0,0"/>
                <v:stroke color="#FFFFFF" joinstyle="miter"/>
                <v:imagedata o:title=""/>
                <o:lock v:ext="edit" aspectratio="f"/>
                <v:textbox>
                  <w:txbxContent>
                    <w:p>
                      <w:pPr>
                        <w:rPr>
                          <w:rFonts w:ascii="宋体" w:hAnsi="Calibri" w:eastAsia="宋体" w:cs="Times New Roman"/>
                          <w:b/>
                          <w:color w:val="FF0000"/>
                          <w:w w:val="66"/>
                          <w:sz w:val="72"/>
                          <w:szCs w:val="72"/>
                        </w:rPr>
                      </w:pPr>
                      <w:r>
                        <w:rPr>
                          <w:rFonts w:hint="eastAsia" w:ascii="宋体" w:hAnsi="宋体" w:eastAsia="宋体" w:cs="Times New Roman"/>
                          <w:b/>
                          <w:color w:val="FF0000"/>
                          <w:w w:val="66"/>
                          <w:sz w:val="72"/>
                          <w:szCs w:val="72"/>
                        </w:rPr>
                        <w:t>“双学双比”</w:t>
                      </w:r>
                      <w:r>
                        <w:rPr>
                          <w:rFonts w:ascii="宋体" w:hAnsi="宋体" w:eastAsia="宋体" w:cs="Times New Roman"/>
                          <w:b/>
                          <w:color w:val="FF0000"/>
                          <w:w w:val="66"/>
                          <w:sz w:val="72"/>
                          <w:szCs w:val="72"/>
                        </w:rPr>
                        <w:t xml:space="preserve">  </w:t>
                      </w:r>
                    </w:p>
                  </w:txbxContent>
                </v:textbox>
              </v:shape>
            </w:pict>
          </mc:Fallback>
        </mc:AlternateContent>
      </w:r>
    </w:p>
    <w:p>
      <w:pPr>
        <w:rPr>
          <w:rFonts w:hint="eastAsia" w:ascii="仿宋" w:hAnsi="仿宋" w:eastAsia="仿宋" w:cs="仿宋"/>
          <w:b/>
          <w:color w:val="FF0000"/>
          <w:w w:val="32"/>
          <w:sz w:val="144"/>
          <w:szCs w:val="144"/>
        </w:rPr>
      </w:pPr>
      <w:r>
        <w:rPr>
          <w:rFonts w:ascii="Calibri" w:hAnsi="Calibri" w:eastAsia="宋体" w:cs="Times New Roman"/>
          <w:szCs w:val="22"/>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594360</wp:posOffset>
                </wp:positionV>
                <wp:extent cx="1876425" cy="718185"/>
                <wp:effectExtent l="4445" t="4445" r="8890" b="8890"/>
                <wp:wrapNone/>
                <wp:docPr id="6" name="文本框 3"/>
                <wp:cNvGraphicFramePr/>
                <a:graphic xmlns:a="http://schemas.openxmlformats.org/drawingml/2006/main">
                  <a:graphicData uri="http://schemas.microsoft.com/office/word/2010/wordprocessingShape">
                    <wps:wsp>
                      <wps:cNvSpPr txBox="1"/>
                      <wps:spPr>
                        <a:xfrm>
                          <a:off x="0" y="0"/>
                          <a:ext cx="1876425" cy="7181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Calibri" w:eastAsia="宋体" w:cs="Times New Roman"/>
                                <w:b/>
                                <w:color w:val="FF0000"/>
                                <w:w w:val="66"/>
                                <w:sz w:val="72"/>
                                <w:szCs w:val="72"/>
                              </w:rPr>
                            </w:pPr>
                            <w:r>
                              <w:rPr>
                                <w:rFonts w:hint="eastAsia" w:ascii="宋体" w:hAnsi="宋体" w:eastAsia="宋体" w:cs="Times New Roman"/>
                                <w:b/>
                                <w:color w:val="FF0000"/>
                                <w:w w:val="66"/>
                                <w:sz w:val="72"/>
                                <w:szCs w:val="72"/>
                              </w:rPr>
                              <w:t>“巾帼建功”</w:t>
                            </w:r>
                          </w:p>
                        </w:txbxContent>
                      </wps:txbx>
                      <wps:bodyPr upright="1"/>
                    </wps:wsp>
                  </a:graphicData>
                </a:graphic>
              </wp:anchor>
            </w:drawing>
          </mc:Choice>
          <mc:Fallback>
            <w:pict>
              <v:shape id="文本框 3" o:spid="_x0000_s1026" o:spt="202" type="#_x0000_t202" style="position:absolute;left:0pt;margin-left:90pt;margin-top:46.8pt;height:56.55pt;width:147.75pt;z-index:251659264;mso-width-relative:page;mso-height-relative:page;" fillcolor="#FFFFFF" filled="t" stroked="t" coordsize="21600,21600" o:gfxdata="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rRy/ZAAAACgEAAA8AAAAAAAAAAQAgAAAAIgAAAGRycy9kb3ducmV2LnhtbFBLAQIUABQAAAAI&#10;AIdO4kAty0VB7AEAAOgDAAAOAAAAAAAAAAEAIAAAACgBAABkcnMvZTJvRG9jLnhtbFBLBQYAAAAA&#10;BgAGAFkBAACGBQAAAAA=&#10;">
                <v:fill on="t" focussize="0,0"/>
                <v:stroke color="#FFFFFF" joinstyle="miter"/>
                <v:imagedata o:title=""/>
                <o:lock v:ext="edit" aspectratio="f"/>
                <v:textbox>
                  <w:txbxContent>
                    <w:p>
                      <w:pPr>
                        <w:rPr>
                          <w:rFonts w:ascii="宋体" w:hAnsi="Calibri" w:eastAsia="宋体" w:cs="Times New Roman"/>
                          <w:b/>
                          <w:color w:val="FF0000"/>
                          <w:w w:val="66"/>
                          <w:sz w:val="72"/>
                          <w:szCs w:val="72"/>
                        </w:rPr>
                      </w:pPr>
                      <w:r>
                        <w:rPr>
                          <w:rFonts w:hint="eastAsia" w:ascii="宋体" w:hAnsi="宋体" w:eastAsia="宋体" w:cs="Times New Roman"/>
                          <w:b/>
                          <w:color w:val="FF0000"/>
                          <w:w w:val="66"/>
                          <w:sz w:val="72"/>
                          <w:szCs w:val="72"/>
                        </w:rPr>
                        <w:t>“巾帼建功”</w:t>
                      </w:r>
                    </w:p>
                  </w:txbxContent>
                </v:textbox>
              </v:shape>
            </w:pict>
          </mc:Fallback>
        </mc:AlternateContent>
      </w:r>
      <w:r>
        <w:rPr>
          <w:rFonts w:hint="eastAsia" w:ascii="宋体" w:hAnsi="宋体" w:eastAsia="宋体" w:cs="Times New Roman"/>
          <w:b/>
          <w:color w:val="FF0000"/>
          <w:w w:val="32"/>
          <w:sz w:val="144"/>
          <w:szCs w:val="144"/>
        </w:rPr>
        <w:t>平顶山市</w:t>
      </w:r>
      <w:r>
        <w:rPr>
          <w:rFonts w:ascii="Calibri" w:hAnsi="Calibri" w:eastAsia="宋体" w:cs="Times New Roman"/>
          <w:b/>
          <w:color w:val="FF0000"/>
          <w:w w:val="32"/>
          <w:sz w:val="144"/>
          <w:szCs w:val="144"/>
        </w:rPr>
        <w:t xml:space="preserve">             </w:t>
      </w:r>
      <w:r>
        <w:rPr>
          <w:rFonts w:hint="eastAsia" w:ascii="宋体" w:hAnsi="宋体" w:eastAsia="宋体" w:cs="Times New Roman"/>
          <w:b/>
          <w:color w:val="FF0000"/>
          <w:w w:val="32"/>
          <w:sz w:val="144"/>
          <w:szCs w:val="144"/>
        </w:rPr>
        <w:t>活动协调小组文件</w:t>
      </w:r>
      <w:r>
        <w:rPr>
          <w:rFonts w:hint="eastAsia" w:ascii="仿宋" w:hAnsi="仿宋" w:eastAsia="仿宋" w:cs="仿宋"/>
          <w:szCs w:val="22"/>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594360</wp:posOffset>
                </wp:positionV>
                <wp:extent cx="1876425" cy="718185"/>
                <wp:effectExtent l="4445" t="4445" r="8890" b="8890"/>
                <wp:wrapNone/>
                <wp:docPr id="2" name="文本框 3"/>
                <wp:cNvGraphicFramePr/>
                <a:graphic xmlns:a="http://schemas.openxmlformats.org/drawingml/2006/main">
                  <a:graphicData uri="http://schemas.microsoft.com/office/word/2010/wordprocessingShape">
                    <wps:wsp>
                      <wps:cNvSpPr txBox="1"/>
                      <wps:spPr>
                        <a:xfrm>
                          <a:off x="0" y="0"/>
                          <a:ext cx="1876425" cy="7181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Calibri" w:eastAsia="宋体" w:cs="Times New Roman"/>
                                <w:b/>
                                <w:color w:val="FF0000"/>
                                <w:w w:val="66"/>
                                <w:sz w:val="72"/>
                                <w:szCs w:val="72"/>
                              </w:rPr>
                            </w:pPr>
                            <w:r>
                              <w:rPr>
                                <w:rFonts w:hint="eastAsia" w:ascii="宋体" w:hAnsi="宋体" w:eastAsia="宋体" w:cs="Times New Roman"/>
                                <w:b/>
                                <w:color w:val="FF0000"/>
                                <w:w w:val="66"/>
                                <w:sz w:val="72"/>
                                <w:szCs w:val="72"/>
                              </w:rPr>
                              <w:t>“巾帼建功”</w:t>
                            </w:r>
                          </w:p>
                        </w:txbxContent>
                      </wps:txbx>
                      <wps:bodyPr upright="1"/>
                    </wps:wsp>
                  </a:graphicData>
                </a:graphic>
              </wp:anchor>
            </w:drawing>
          </mc:Choice>
          <mc:Fallback>
            <w:pict>
              <v:shape id="文本框 3" o:spid="_x0000_s1026" o:spt="202" type="#_x0000_t202" style="position:absolute;left:0pt;margin-left:90pt;margin-top:46.8pt;height:56.55pt;width:147.75pt;z-index:251657216;mso-width-relative:page;mso-height-relative:page;" fillcolor="#FFFFFF" filled="t" stroked="t" coordsize="21600,21600" o:gfxdata="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rRy/ZAAAACgEAAA8AAAAAAAAAAQAgAAAAIgAAAGRycy9kb3ducmV2LnhtbFBLAQIUABQAAAAI&#10;AIdO4kA3kztE7AEAAOgDAAAOAAAAAAAAAAEAIAAAACgBAABkcnMvZTJvRG9jLnhtbFBLBQYAAAAA&#10;BgAGAFkBAACGBQAAAAA=&#10;">
                <v:fill on="t" focussize="0,0"/>
                <v:stroke color="#FFFFFF" joinstyle="miter"/>
                <v:imagedata o:title=""/>
                <o:lock v:ext="edit" aspectratio="f"/>
                <v:textbox>
                  <w:txbxContent>
                    <w:p>
                      <w:pPr>
                        <w:rPr>
                          <w:rFonts w:ascii="宋体" w:hAnsi="Calibri" w:eastAsia="宋体" w:cs="Times New Roman"/>
                          <w:b/>
                          <w:color w:val="FF0000"/>
                          <w:w w:val="66"/>
                          <w:sz w:val="72"/>
                          <w:szCs w:val="72"/>
                        </w:rPr>
                      </w:pPr>
                      <w:r>
                        <w:rPr>
                          <w:rFonts w:hint="eastAsia" w:ascii="宋体" w:hAnsi="宋体" w:eastAsia="宋体" w:cs="Times New Roman"/>
                          <w:b/>
                          <w:color w:val="FF0000"/>
                          <w:w w:val="66"/>
                          <w:sz w:val="72"/>
                          <w:szCs w:val="72"/>
                        </w:rPr>
                        <w:t>“巾帼建功”</w:t>
                      </w:r>
                    </w:p>
                  </w:txbxContent>
                </v:textbox>
              </v:shape>
            </w:pict>
          </mc:Fallback>
        </mc:AlternateContent>
      </w:r>
    </w:p>
    <w:p>
      <w:pPr>
        <w:spacing w:line="600" w:lineRule="exact"/>
        <w:jc w:val="center"/>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平双协字[201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spacing w:line="771" w:lineRule="atLeast"/>
        <w:jc w:val="center"/>
        <w:rPr>
          <w:rFonts w:hint="eastAsia" w:ascii="仿宋" w:hAnsi="仿宋" w:eastAsia="仿宋" w:cs="仿宋"/>
          <w:b/>
          <w:color w:val="FF0000"/>
          <w:sz w:val="52"/>
          <w:szCs w:val="22"/>
        </w:rPr>
      </w:pPr>
      <w:r>
        <w:rPr>
          <w:rFonts w:hint="eastAsia" w:ascii="仿宋" w:hAnsi="仿宋" w:eastAsia="仿宋" w:cs="仿宋"/>
          <w:szCs w:val="22"/>
        </w:rP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ge">
                  <wp:posOffset>3985260</wp:posOffset>
                </wp:positionV>
                <wp:extent cx="2514600" cy="0"/>
                <wp:effectExtent l="0" t="8255" r="0" b="14605"/>
                <wp:wrapNone/>
                <wp:docPr id="4" name="直线 4"/>
                <wp:cNvGraphicFramePr/>
                <a:graphic xmlns:a="http://schemas.openxmlformats.org/drawingml/2006/main">
                  <a:graphicData uri="http://schemas.microsoft.com/office/word/2010/wordprocessingShape">
                    <wps:wsp>
                      <wps:cNvCnPr/>
                      <wps:spPr>
                        <a:xfrm>
                          <a:off x="0" y="0"/>
                          <a:ext cx="2514600" cy="0"/>
                        </a:xfrm>
                        <a:prstGeom prst="line">
                          <a:avLst/>
                        </a:prstGeom>
                        <a:ln w="16764"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5.05pt;margin-top:313.8pt;height:0pt;width:198pt;mso-position-horizontal-relative:page;mso-position-vertical-relative:page;z-index:251659264;mso-width-relative:page;mso-height-relative:page;" filled="f" stroked="t" coordsize="21600,21600" o:gfxdata="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&#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XzCOdYAAAALAQAADwAAAAAAAAABACAAAAAiAAAA&#10;ZHJzL2Rvd25yZXYueG1sUEsBAhQAFAAAAAgAh07iQB74BUvQAQAAjgMAAA4AAAAAAAAAAQAgAAAA&#10;JQEAAGRycy9lMm9Eb2MueG1sUEsFBgAAAAAGAAYAWQEAAGcFAAAAAA==&#10;">
                <v:fill on="f" focussize="0,0"/>
                <v:stroke weight="1.32pt" color="#FF0000" joinstyle="round"/>
                <v:imagedata o:title=""/>
                <o:lock v:ext="edit" aspectratio="f"/>
              </v:line>
            </w:pict>
          </mc:Fallback>
        </mc:AlternateContent>
      </w:r>
      <w:r>
        <w:rPr>
          <w:rFonts w:hint="eastAsia" w:ascii="仿宋" w:hAnsi="仿宋" w:eastAsia="仿宋" w:cs="仿宋"/>
          <w:szCs w:val="22"/>
        </w:rPr>
        <mc:AlternateContent>
          <mc:Choice Requires="wps">
            <w:drawing>
              <wp:anchor distT="0" distB="0" distL="114300" distR="114300" simplePos="0" relativeHeight="251656192" behindDoc="0" locked="0" layoutInCell="1" allowOverlap="1">
                <wp:simplePos x="0" y="0"/>
                <wp:positionH relativeFrom="page">
                  <wp:posOffset>4051935</wp:posOffset>
                </wp:positionH>
                <wp:positionV relativeFrom="page">
                  <wp:posOffset>3985260</wp:posOffset>
                </wp:positionV>
                <wp:extent cx="2704465" cy="18415"/>
                <wp:effectExtent l="0" t="8255" r="8255" b="19050"/>
                <wp:wrapNone/>
                <wp:docPr id="5" name="直线 5"/>
                <wp:cNvGraphicFramePr/>
                <a:graphic xmlns:a="http://schemas.openxmlformats.org/drawingml/2006/main">
                  <a:graphicData uri="http://schemas.microsoft.com/office/word/2010/wordprocessingShape">
                    <wps:wsp>
                      <wps:cNvCnPr/>
                      <wps:spPr>
                        <a:xfrm>
                          <a:off x="0" y="0"/>
                          <a:ext cx="2704465" cy="18415"/>
                        </a:xfrm>
                        <a:prstGeom prst="line">
                          <a:avLst/>
                        </a:prstGeom>
                        <a:ln w="16764"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19.05pt;margin-top:313.8pt;height:1.45pt;width:212.95pt;mso-position-horizontal-relative:page;mso-position-vertical-relative:page;z-index:251656192;mso-width-relative:page;mso-height-relative:page;" filled="f" stroked="t" coordsize="21600,21600" o:gfxdata="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kzCkrYAAAADAEAAA8AAAAAAAAAAQAg&#10;AAAAIgAAAGRycy9kb3ducmV2LnhtbFBLAQIUABQAAAAIAIdO4kCq0sHI1QEAAJIDAAAOAAAAAAAA&#10;AAEAIAAAACcBAABkcnMvZTJvRG9jLnhtbFBLBQYAAAAABgAGAFkBAABuBQAAAAA=&#10;">
                <v:fill on="f" focussize="0,0"/>
                <v:stroke weight="1.32pt" color="#FF0000" joinstyle="round"/>
                <v:imagedata o:title=""/>
                <o:lock v:ext="edit" aspectratio="f"/>
              </v:line>
            </w:pict>
          </mc:Fallback>
        </mc:AlternateContent>
      </w:r>
      <w:r>
        <w:rPr>
          <w:rFonts w:hint="eastAsia" w:ascii="仿宋" w:hAnsi="仿宋" w:eastAsia="仿宋" w:cs="仿宋"/>
          <w:b/>
          <w:color w:val="FF0000"/>
          <w:sz w:val="52"/>
          <w:szCs w:val="22"/>
        </w:rPr>
        <w:t>★</w:t>
      </w:r>
    </w:p>
    <w:p>
      <w:pPr>
        <w:spacing w:line="562" w:lineRule="atLeast"/>
        <w:jc w:val="center"/>
        <w:rPr>
          <w:rFonts w:hint="eastAsia" w:ascii="仿宋" w:hAnsi="仿宋" w:eastAsia="仿宋" w:cs="仿宋"/>
          <w:sz w:val="11"/>
          <w:szCs w:val="11"/>
        </w:rPr>
      </w:pPr>
    </w:p>
    <w:p>
      <w:pPr>
        <w:spacing w:line="344" w:lineRule="atLeast"/>
        <w:rPr>
          <w:rFonts w:hint="eastAsia" w:ascii="仿宋" w:hAnsi="仿宋" w:eastAsia="仿宋" w:cs="仿宋"/>
          <w:sz w:val="11"/>
          <w:szCs w:val="22"/>
        </w:rPr>
      </w:pPr>
    </w:p>
    <w:p>
      <w:pPr>
        <w:jc w:val="center"/>
        <w:rPr>
          <w:rFonts w:hint="eastAsia" w:ascii="宋体" w:hAnsi="宋体" w:eastAsia="宋体" w:cs="宋体"/>
          <w:b/>
          <w:bCs w:val="0"/>
          <w:color w:val="000000"/>
          <w:sz w:val="44"/>
          <w:szCs w:val="44"/>
          <w:lang w:val="en-US" w:eastAsia="zh-CN"/>
        </w:rPr>
      </w:pPr>
      <w:r>
        <w:rPr>
          <w:rFonts w:hint="eastAsia" w:ascii="宋体" w:hAnsi="宋体" w:eastAsia="宋体" w:cs="宋体"/>
          <w:b/>
          <w:bCs w:val="0"/>
          <w:color w:val="000000"/>
          <w:sz w:val="44"/>
          <w:szCs w:val="44"/>
          <w:lang w:val="en-US" w:eastAsia="zh-CN"/>
        </w:rPr>
        <w:t xml:space="preserve">关于印发《平顶山市“巾帼文明岗” </w:t>
      </w:r>
    </w:p>
    <w:p>
      <w:pPr>
        <w:jc w:val="center"/>
        <w:rPr>
          <w:rFonts w:hint="eastAsia" w:ascii="宋体" w:hAnsi="宋体" w:eastAsia="宋体" w:cs="宋体"/>
          <w:b/>
          <w:bCs w:val="0"/>
          <w:color w:val="000000"/>
          <w:sz w:val="44"/>
          <w:szCs w:val="44"/>
          <w:lang w:val="en-US" w:eastAsia="zh-CN"/>
        </w:rPr>
      </w:pPr>
      <w:r>
        <w:rPr>
          <w:rFonts w:hint="eastAsia" w:ascii="宋体" w:hAnsi="宋体" w:eastAsia="宋体" w:cs="宋体"/>
          <w:b/>
          <w:bCs w:val="0"/>
          <w:color w:val="000000"/>
          <w:sz w:val="44"/>
          <w:szCs w:val="44"/>
          <w:lang w:val="en-US" w:eastAsia="zh-CN"/>
        </w:rPr>
        <w:t>管理办法》的通知</w:t>
      </w:r>
    </w:p>
    <w:p>
      <w:pPr>
        <w:keepNext w:val="0"/>
        <w:keepLines w:val="0"/>
        <w:pageBreakBefore w:val="0"/>
        <w:widowControl/>
        <w:suppressLineNumbers w:val="0"/>
        <w:shd w:val="clear" w:fill="FFFFFF"/>
        <w:tabs>
          <w:tab w:val="left" w:pos="1579"/>
          <w:tab w:val="center" w:pos="4214"/>
        </w:tabs>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各县（市、区）妇联、市直行政（企事业）单位妇委会：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为加强“巾帼文明岗”的管理与监督, 使创建活动规范化、制度化，特修订《平顶山市“巾帼文明岗”管理办法》。现印发给你们，请认真遵照贯彻执行。</w:t>
      </w:r>
    </w:p>
    <w:p>
      <w:pPr>
        <w:keepNext w:val="0"/>
        <w:keepLines w:val="0"/>
        <w:pageBreakBefore w:val="0"/>
        <w:widowControl/>
        <w:suppressLineNumbers w:val="0"/>
        <w:shd w:val="clear" w:fill="FFFFFF"/>
        <w:tabs>
          <w:tab w:val="left" w:pos="526"/>
        </w:tabs>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附件：平顶山市“巾帼文明岗”管理办法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 xml:space="preserve">                   平顶山市“双学双比”“巾帼建功”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 xml:space="preserve">              活动领导小组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 xml:space="preserve">                     2019年7月25</w:t>
      </w:r>
      <w:bookmarkStart w:id="0" w:name="_GoBack"/>
      <w:bookmarkEnd w:id="0"/>
      <w:r>
        <w:rPr>
          <w:rFonts w:hint="eastAsia" w:ascii="仿宋" w:hAnsi="仿宋" w:eastAsia="仿宋" w:cs="仿宋"/>
          <w:b w:val="0"/>
          <w:bCs/>
          <w:color w:val="000000" w:themeColor="text1"/>
          <w:kern w:val="0"/>
          <w:sz w:val="32"/>
          <w:szCs w:val="32"/>
          <w:shd w:val="clear" w:fill="FFFFFF"/>
          <w:lang w:val="en-US" w:eastAsia="zh-CN" w:bidi="ar"/>
          <w14:textFill>
            <w14:solidFill>
              <w14:schemeClr w14:val="tx1"/>
            </w14:solidFill>
          </w14:textFill>
        </w:rPr>
        <w:t>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b/>
          <w:color w:val="000000" w:themeColor="text1"/>
          <w:kern w:val="0"/>
          <w:sz w:val="32"/>
          <w:szCs w:val="32"/>
          <w:shd w:val="clear" w:fill="FFFFFF"/>
          <w:lang w:val="en-US" w:eastAsia="zh-CN" w:bidi="ar"/>
          <w14:textFill>
            <w14:solidFill>
              <w14:schemeClr w14:val="tx1"/>
            </w14:solidFill>
          </w14:textFill>
        </w:rPr>
      </w:pPr>
      <w:r>
        <w:rPr>
          <w:rFonts w:hint="eastAsia" w:ascii="黑体" w:hAnsi="黑体" w:eastAsia="黑体" w:cs="黑体"/>
          <w:b/>
          <w:color w:val="000000" w:themeColor="text1"/>
          <w:kern w:val="0"/>
          <w:sz w:val="32"/>
          <w:szCs w:val="32"/>
          <w:shd w:val="clear" w:fill="FFFFFF"/>
          <w:lang w:val="en-US" w:eastAsia="zh-CN" w:bidi="ar"/>
          <w14:textFill>
            <w14:solidFill>
              <w14:schemeClr w14:val="tx1"/>
            </w14:solidFill>
          </w14:textFill>
        </w:rPr>
        <w:t>附件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val="0"/>
          <w:color w:val="000000" w:themeColor="text1"/>
          <w:kern w:val="0"/>
          <w:sz w:val="44"/>
          <w:szCs w:val="44"/>
          <w:shd w:val="clear" w:fill="FFFFFF"/>
          <w:lang w:val="en-US" w:eastAsia="zh-CN" w:bidi="ar"/>
          <w14:textFill>
            <w14:solidFill>
              <w14:schemeClr w14:val="tx1"/>
            </w14:solidFill>
          </w14:textFill>
        </w:rPr>
      </w:pPr>
      <w:r>
        <w:rPr>
          <w:rFonts w:hint="eastAsia" w:ascii="宋体" w:hAnsi="宋体" w:eastAsia="宋体" w:cs="宋体"/>
          <w:b/>
          <w:bCs w:val="0"/>
          <w:color w:val="000000" w:themeColor="text1"/>
          <w:kern w:val="0"/>
          <w:sz w:val="44"/>
          <w:szCs w:val="44"/>
          <w:shd w:val="clear" w:fill="FFFFFF"/>
          <w:lang w:val="en-US" w:eastAsia="zh-CN" w:bidi="ar"/>
          <w14:textFill>
            <w14:solidFill>
              <w14:schemeClr w14:val="tx1"/>
            </w14:solidFill>
          </w14:textFill>
        </w:rPr>
        <w:t>平顶山市“巾帼文明岗” 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319" w:leftChars="152" w:right="0" w:firstLine="454" w:firstLineChars="142"/>
        <w:jc w:val="left"/>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为推动“巾帼文明岗”创建</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活动广泛、深入开展，充分发挥“创一个岗、树一面旗、带一群人”的示范带动作用，提升巾帼文明岗品牌形象，提高创建水平,激发广大妇女为推动我市综合实力高质量重返全省第一方阵而奋斗的积极性、主动性和创造性, 特修订本办法。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510"/>
        <w:jc w:val="left"/>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640" w:leftChars="0" w:right="0" w:firstLine="0" w:firstLineChars="0"/>
        <w:jc w:val="center"/>
        <w:textAlignment w:val="auto"/>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总　  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b w:val="0"/>
          <w:bCs w:val="0"/>
          <w:color w:val="000000" w:themeColor="text1"/>
          <w:kern w:val="0"/>
          <w:sz w:val="32"/>
          <w:szCs w:val="32"/>
          <w:shd w:val="clear" w:fill="FFFFFF"/>
          <w:lang w:val="en-US"/>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w:t>
      </w: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第一条</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“巾帼文明岗” 是以妇女为主体, 在生产、 经营、管理和服务等工作岗位上创建的体现高度职业文明, 创造一流工作业绩的城乡一线妇女集体。</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b w:val="0"/>
          <w:bCs w:val="0"/>
          <w:color w:val="000000" w:themeColor="text1"/>
          <w:kern w:val="0"/>
          <w:sz w:val="32"/>
          <w:szCs w:val="32"/>
          <w:shd w:val="clear" w:fill="FFFFFF"/>
          <w:lang w:val="en-US"/>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w:t>
      </w: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 xml:space="preserve">第二条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 创建活动是 “巾帼建功” 活动的重要载体, 是以促进妇女成长成才和所在单位发展进步为目标,以倡导职业文明、 树立行业新风为核心, 以行业规范和岗位职责为标准, 以科学管理为手段, 以倡扬岗位职业道德、 提升岗位技能和提高岗位效益为重点, 以先进典型为导向的群众性精神文明创建活动。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第三条</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“巾帼文明岗” 创建活动以习近平新时代中国特色社会主义思想为指导，围绕新时代经济社会发展大局，结合行业发展要求，引导广大妇女树立社会主义核心价值观，诚实劳动、遵纪守法、恪尽职守、文明从业，立足岗位、创业创新，努力提高思想道德、职业道德和技能水平，为推动我市综合实力高质量重返全省第一方阵、中原更加出彩做贡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 xml:space="preserve">第四条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 创建活动在城乡妇女比较集中的行业和单位中开展。 凡符合本办法第六条规定的各级机关、企事业单位、社会团体、新经济组织、新社会组织、专业市场等以妇女为主体的集体（班、组、队、站、所）和岗位（岗、柜、店、台）均可参加“巾帼文明岗”创建活动。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第五条</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 创建活动应纳入创建单位精神文明建设总体规划,紧密结合各系统、各行业、各单位不同岗位的实际, 坚持因地制宜、分类指导、发展创新的原则, 着力扩大活动覆盖面，着力创新活动的工作机制、管理机制和运作机制，提高创建活动成效，充分发挥“巾帼文明岗”的社会效益、经济效益和人才效益。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第二章　 创岗条件</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第六条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创建“巾帼文明岗”应具备的条件</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1、女性占集体人数的60%以上，争创岗位领导班子中至少有一名是女性。除特殊岗位外，集体人数一般要求3人以上（含3人）。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全体成员思想政治素质良好，积极执行党和国家的政策，自觉遵守国家的各项法律、法规及本系统、本行业和本单位的规章制度，自觉践行社会主义核心价值观。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val="en-US" w:eastAsia="zh-CN"/>
          <w14:textFill>
            <w14:solidFill>
              <w14:schemeClr w14:val="tx1"/>
            </w14:solidFill>
          </w14:textFill>
        </w:rPr>
        <w:t>全体成员具备良好的职业道德，自觉弘扬文明新风，爱岗敬业，熟练掌握业务技能，优质高效，团结写作，在生产经营和管理服务中贡献突出。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lang w:val="en-US" w:eastAsia="zh-CN"/>
          <w14:textFill>
            <w14:solidFill>
              <w14:schemeClr w14:val="tx1"/>
            </w14:solidFill>
          </w14:textFill>
        </w:rPr>
        <w:t>“巾帼文明岗”内部管理科学规范，有明确的争创计划，</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细化的创建标准，完善的学习培训指导，创建档案健全，在醒目的场所亮身份、亮承诺、亮标准，接受群众监督的渠道畅通。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val="0"/>
          <w:bCs w:val="0"/>
          <w:color w:val="000000" w:themeColor="text1"/>
          <w:sz w:val="32"/>
          <w:szCs w:val="32"/>
          <w:lang w:val="en-US" w:eastAsia="zh-CN"/>
          <w14:textFill>
            <w14:solidFill>
              <w14:schemeClr w14:val="tx1"/>
            </w14:solidFill>
          </w14:textFill>
        </w:rPr>
        <w:t>“巾帼文明岗”成员积极参与社会公益和志愿服务活动，受到公众好评，社会效益、经济效益和人才效益显著，有良好的社会信誉。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6、 申评所创层级巾帼文明岗的应在本行业、本系统、本地区的相应层级创建集体中具有较强示范性、代表性和影响力，且参与创建一年以上。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92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第三章 </w:t>
      </w:r>
      <w:r>
        <w:rPr>
          <w:rFonts w:hint="eastAsia" w:ascii="黑体" w:hAnsi="黑体" w:eastAsia="黑体" w:cs="黑体"/>
          <w:b w:val="0"/>
          <w:bCs w:val="0"/>
          <w:color w:val="000000" w:themeColor="text1"/>
          <w:sz w:val="32"/>
          <w:szCs w:val="32"/>
          <w:lang w:eastAsia="zh-CN"/>
          <w14:textFill>
            <w14:solidFill>
              <w14:schemeClr w14:val="tx1"/>
            </w14:solidFill>
          </w14:textFill>
        </w:rPr>
        <w:t>评选</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表彰 奖励</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第七条</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分为全国、省（自治区、直辖市）、市（地）、县（市、区）四级。各级“巾帼文明岗”评选，采取由创建单位自我申报、行业推荐、公众评议、考核认定、逐级报批的办法进行。原则上，申报上一级“巾帼文明岗”，应先获得本级“巾帼文明岗”称号。</w:t>
      </w:r>
    </w:p>
    <w:p>
      <w:pPr>
        <w:pStyle w:val="8"/>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left="0" w:right="0" w:firstLine="601"/>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第八条</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“巾帼文明岗”的评选实行公示制。公示采取申报单位自行公示和活动组织管理部门集中公示相结合的方法，公示时间一般为7天。</w:t>
      </w:r>
    </w:p>
    <w:p>
      <w:pPr>
        <w:pStyle w:val="8"/>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left="0" w:right="0" w:firstLine="601"/>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第九条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市级“巾帼文明岗”每两年评选、命名一次。名额由市“巾帼建功”活动领导小组根据实际情况确定。</w:t>
      </w:r>
    </w:p>
    <w:p>
      <w:pPr>
        <w:pStyle w:val="8"/>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left="0" w:right="0" w:firstLine="601"/>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第十条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对评选出的“巾帼文明岗”以精神奖励为主，下发文件予以命名表彰，并授予“巾帼文明岗”奖牌。各县（市、区）、各行业（系统）可根据实际情况给予相应的物质奖励。各级妇女组织和创岗单位要大力宣传报道“巾帼文明岗”及其成员的典型经验和先进事迹。</w:t>
      </w:r>
    </w:p>
    <w:p>
      <w:pPr>
        <w:pStyle w:val="8"/>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left="0" w:right="0" w:firstLine="601"/>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第十一条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“巾帼文明岗”的主要女性负责人，可列为单位后备干部的培养对象，为其提供学习深造、锻炼提高的机会，在同等条件下优先晋职晋级，使“巾帼文明岗”真正成为培养选拔女性人才的摇篮。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center"/>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center"/>
        <w:textAlignment w:val="auto"/>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第四章 管理与考核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第十二条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实行分级管理和协助管理相结合的原则。市、县（区）级的“巾帼文明岗”，由同级“巾帼建功”活动领导小组进行管理；有行业（系统）主管单位的“巾帼文明岗”，由其主管部门进行管理，同级妇联协助管理。 市级“巾帼文明岗”由市“巾帼建功”活动领导小组委托县（市、区）级“巾帼建功”活动领导小组和行业主管单位共同管理。创建活动的组织领导、考核评审工作由同级“巾帼建功”活动领导小组负责，日常工作由同级妇联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第十三条</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“巾帼文明岗”实行挂牌制度。奖牌是展示“巾帼文明岗”形象的重要标志。凡获此荣誉称号的集体应将奖牌悬挂在岗位现场的醒目位置，并向社会公开服务承诺，公布监督电话，自觉接受社会监督。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 xml:space="preserve">第十四条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各地、各行业应根据实际情况，制定出科学的考核标准，对“巾帼文明岗”从社会效益、经济效益和人才效益等方面定期进行综合考核，考核结果应报上级主管部门备案。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 xml:space="preserve">第十五条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“巾帼文明岗”实行动态管理，接受上级主管部门的定期检查、随机抽查及社会监督。</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市“巾帼建功”活动协调小组将在各地自查的基础上，对各级“巾帼文明岗”进行不定期抽查。对已命名的“巾帼文明岗”不搞终身制，凡符合条件的继续挂牌，否则予以摘牌并取消荣誉称号。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 xml:space="preserve">第十六条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“巾帼文明岗”出现下列情况之一者，经核实，由授牌单位撤销其荣誉称号并摘牌：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1、本岗中有违法和严重违纪现象的；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2、工作中发生责任事故的；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3、被新闻媒体曝光或群众举报，经查情况属实，造成不良影响的；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4、在文明单位评比、行风评议、安全生产等各类检查评比中不合格的；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5、申报中弄虚作假，骗取荣誉的；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6、若单位撤并，视为自动撤销荣誉称号。 </w:t>
      </w:r>
    </w:p>
    <w:p>
      <w:pPr>
        <w:pStyle w:val="8"/>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left="0" w:right="0" w:firstLine="601"/>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第十七条</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各县（市、区）应逐级建立并完善“巾帼文明岗”管理档案，利用现代网络信息技术，建立电子台账，实现管理工作的制度化、规范化和电子化。</w:t>
      </w:r>
    </w:p>
    <w:p>
      <w:pPr>
        <w:pStyle w:val="8"/>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left="0" w:right="0" w:firstLine="601"/>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第十八条</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考核与管理应贯穿创建活动的始终。要加强对创岗负责人培训，确保创岗质量，不断增强文明岗成员的综合素质，使文明岗永葆鲜活的生命力。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p>
    <w:p>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附 则</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第十九条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“巾帼文明岗”活动重在创建，各县（市、区）可根据实际，参照本办法制定相应的“巾帼文明岗”管理办法。推动活动扎实有效地开展。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第二十条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市“巾帼文明岗”牌匾规格：长60CM、宽40CM；边距厚2CM，中边距3.5CM（凸型）。县（区、市）级“巾帼文明岗”牌匾规格不得超过市级规格。</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 xml:space="preserve">第二十一条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各地、各行业可将巾帼文明岗题字和标识图样制作成印刷品、三角旗等标识物放在工作现场，但不得用于任何商业性活动。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第二十二条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本办法的修改解释权属平顶山市巾帼建功活动协调小组办公室。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 xml:space="preserve">第二十三条 </w:t>
      </w: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 xml:space="preserve"> 本办法自发布之日起实行。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lang w:val="en-US" w:eastAsia="zh-CN"/>
        </w:rPr>
      </w:pPr>
    </w:p>
    <w:sectPr>
      <w:footerReference r:id="rId3" w:type="default"/>
      <w:pgSz w:w="11906" w:h="16838"/>
      <w:pgMar w:top="1417" w:right="1417" w:bottom="1417"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32E44"/>
    <w:multiLevelType w:val="singleLevel"/>
    <w:tmpl w:val="C4332E44"/>
    <w:lvl w:ilvl="0" w:tentative="0">
      <w:start w:val="1"/>
      <w:numFmt w:val="chineseCounting"/>
      <w:suff w:val="nothing"/>
      <w:lvlText w:val="第%1章　"/>
      <w:lvlJc w:val="left"/>
      <w:pPr>
        <w:ind w:left="640" w:leftChars="0" w:firstLine="0" w:firstLineChars="0"/>
      </w:pPr>
      <w:rPr>
        <w:rFonts w:hint="eastAsia"/>
      </w:rPr>
    </w:lvl>
  </w:abstractNum>
  <w:abstractNum w:abstractNumId="1">
    <w:nsid w:val="67BB3EC3"/>
    <w:multiLevelType w:val="singleLevel"/>
    <w:tmpl w:val="67BB3EC3"/>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6361"/>
    <w:rsid w:val="05EF7F0C"/>
    <w:rsid w:val="09AC110F"/>
    <w:rsid w:val="0A1E56D1"/>
    <w:rsid w:val="12A2570E"/>
    <w:rsid w:val="16DD33D4"/>
    <w:rsid w:val="1A8F6361"/>
    <w:rsid w:val="24E270A0"/>
    <w:rsid w:val="304966EE"/>
    <w:rsid w:val="31461F1F"/>
    <w:rsid w:val="335402CF"/>
    <w:rsid w:val="36752D4B"/>
    <w:rsid w:val="38FE1303"/>
    <w:rsid w:val="3A5F67F3"/>
    <w:rsid w:val="3A9F49D5"/>
    <w:rsid w:val="45A231B1"/>
    <w:rsid w:val="4F3D6A00"/>
    <w:rsid w:val="4FD1495E"/>
    <w:rsid w:val="51EA50BC"/>
    <w:rsid w:val="530C7379"/>
    <w:rsid w:val="53DA125E"/>
    <w:rsid w:val="574C325E"/>
    <w:rsid w:val="58F90459"/>
    <w:rsid w:val="59A56BC2"/>
    <w:rsid w:val="5A0A3724"/>
    <w:rsid w:val="5A8F0CCA"/>
    <w:rsid w:val="5CB76979"/>
    <w:rsid w:val="5D885DBB"/>
    <w:rsid w:val="62AF5EDF"/>
    <w:rsid w:val="647F0203"/>
    <w:rsid w:val="6D2E613E"/>
    <w:rsid w:val="6DE65BDA"/>
    <w:rsid w:val="6EEB223B"/>
    <w:rsid w:val="71315E2E"/>
    <w:rsid w:val="75470A14"/>
    <w:rsid w:val="793346F8"/>
    <w:rsid w:val="7977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8">
    <w:name w:val="Normal (Web)"/>
    <w:qFormat/>
    <w:uiPriority w:val="0"/>
    <w:pPr>
      <w:widowControl w:val="0"/>
      <w:spacing w:before="0" w:beforeAutospacing="1" w:after="0" w:afterAutospacing="1"/>
      <w:ind w:left="0" w:right="0"/>
      <w:jc w:val="left"/>
    </w:pPr>
    <w:rPr>
      <w:rFonts w:ascii="Calibri" w:hAnsi="Calibri" w:eastAsia="宋体" w:cs="黑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2019-06-17T03:34:00Z</dcterms:created>
  <dc:creator>Administrator</dc:creator>
  <cp:lastModifiedBy>Administrator</cp:lastModifiedBy>
  <cp:lastPrinted>2019-06-18T07:41:00Z</cp:lastPrinted>
  <dcterms:modified xsi:type="dcterms:W3CDTF">2019-07-25T08:52:35Z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